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75"/>
        <w:gridCol w:w="965"/>
        <w:gridCol w:w="3150"/>
        <w:gridCol w:w="1890"/>
        <w:gridCol w:w="3225"/>
      </w:tblGrid>
      <w:tr w:rsidR="00E43BAB" w:rsidRPr="002462A5" w14:paraId="51760164" w14:textId="77777777" w:rsidTr="00DD2AAE">
        <w:trPr>
          <w:trHeight w:val="576"/>
          <w:jc w:val="center"/>
        </w:trPr>
        <w:tc>
          <w:tcPr>
            <w:tcW w:w="10502" w:type="dxa"/>
            <w:gridSpan w:val="6"/>
            <w:shd w:val="clear" w:color="auto" w:fill="auto"/>
            <w:tcMar>
              <w:left w:w="0" w:type="dxa"/>
            </w:tcMar>
            <w:vAlign w:val="center"/>
          </w:tcPr>
          <w:p w14:paraId="51760163" w14:textId="77777777"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DD2AAE">
        <w:trPr>
          <w:trHeight w:val="274"/>
          <w:jc w:val="center"/>
        </w:trPr>
        <w:tc>
          <w:tcPr>
            <w:tcW w:w="2237" w:type="dxa"/>
            <w:gridSpan w:val="3"/>
            <w:shd w:val="clear" w:color="auto" w:fill="auto"/>
            <w:tcMar>
              <w:left w:w="0" w:type="dxa"/>
            </w:tcMar>
            <w:vAlign w:val="center"/>
          </w:tcPr>
          <w:p w14:paraId="51760165" w14:textId="155CA5DC" w:rsidR="00255733" w:rsidRPr="002462A5" w:rsidRDefault="00646739" w:rsidP="001B5E96">
            <w:pPr>
              <w:pStyle w:val="Heading4"/>
              <w:framePr w:hSpace="0" w:wrap="auto" w:vAnchor="margin" w:hAnchor="text" w:xAlign="left" w:yAlign="inline"/>
              <w:suppressOverlap w:val="0"/>
            </w:pPr>
            <w:r>
              <w:t>may 7</w:t>
            </w:r>
            <w:r w:rsidR="005A3A56">
              <w:t>, 201</w:t>
            </w:r>
            <w:r w:rsidR="00767B35">
              <w:t>5</w:t>
            </w:r>
          </w:p>
        </w:tc>
        <w:tc>
          <w:tcPr>
            <w:tcW w:w="5040" w:type="dxa"/>
            <w:gridSpan w:val="2"/>
            <w:shd w:val="clear" w:color="auto" w:fill="auto"/>
            <w:tcMar>
              <w:left w:w="0" w:type="dxa"/>
            </w:tcMar>
            <w:vAlign w:val="center"/>
          </w:tcPr>
          <w:p w14:paraId="51760166" w14:textId="74A5B3A9" w:rsidR="00255733" w:rsidRPr="002462A5" w:rsidRDefault="000D1482" w:rsidP="002B2F07">
            <w:pPr>
              <w:pStyle w:val="Heading4"/>
              <w:framePr w:hSpace="0" w:wrap="auto" w:vAnchor="margin" w:hAnchor="text" w:xAlign="left" w:yAlign="inline"/>
              <w:suppressOverlap w:val="0"/>
              <w:jc w:val="center"/>
            </w:pPr>
            <w:r>
              <w:t>2:00-</w:t>
            </w:r>
            <w:r w:rsidR="00EB7E7F">
              <w:t>4</w:t>
            </w:r>
            <w:r w:rsidR="00232977">
              <w:t>:0</w:t>
            </w:r>
            <w:r w:rsidR="00363802">
              <w:t>0</w:t>
            </w:r>
            <w:r w:rsidR="00255733">
              <w:t xml:space="preserve"> pm</w:t>
            </w:r>
          </w:p>
        </w:tc>
        <w:tc>
          <w:tcPr>
            <w:tcW w:w="3225" w:type="dxa"/>
            <w:shd w:val="clear" w:color="auto" w:fill="auto"/>
            <w:tcMar>
              <w:left w:w="0" w:type="dxa"/>
            </w:tcMar>
            <w:vAlign w:val="center"/>
          </w:tcPr>
          <w:p w14:paraId="51760167" w14:textId="77777777" w:rsidR="00255733" w:rsidRPr="002462A5" w:rsidRDefault="00874D2B" w:rsidP="005052C5">
            <w:pPr>
              <w:pStyle w:val="Heading5"/>
            </w:pPr>
            <w:r>
              <w:t>L 238 S</w:t>
            </w:r>
          </w:p>
        </w:tc>
      </w:tr>
      <w:tr w:rsidR="00230D6F" w:rsidRPr="002462A5" w14:paraId="5176016A" w14:textId="77777777" w:rsidTr="00DD2AAE">
        <w:trPr>
          <w:trHeight w:val="229"/>
          <w:jc w:val="center"/>
        </w:trPr>
        <w:tc>
          <w:tcPr>
            <w:tcW w:w="10502"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722F15" w:rsidRPr="001E27EF" w14:paraId="51760171" w14:textId="77777777" w:rsidTr="00F74B91">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176016E" w14:textId="77777777" w:rsidR="00722F15" w:rsidRPr="002462A5" w:rsidRDefault="00722F15" w:rsidP="002A0CD3">
            <w:pPr>
              <w:pStyle w:val="AllCapsHeading"/>
              <w:rPr>
                <w:rFonts w:cs="Tahoma"/>
                <w:color w:val="auto"/>
              </w:rPr>
            </w:pPr>
            <w:r w:rsidRPr="002462A5">
              <w:rPr>
                <w:rFonts w:cs="Tahoma"/>
                <w:color w:val="auto"/>
              </w:rPr>
              <w:t>Attendees</w:t>
            </w: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722F15" w:rsidRPr="00F51820" w:rsidRDefault="00722F15" w:rsidP="00874D2B">
            <w:r>
              <w:t>Elisabeth Shapiro:  Chair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3E16C15A" w:rsidR="00722F15" w:rsidRPr="001E27EF" w:rsidRDefault="003013EA" w:rsidP="003F16B6">
            <w:pPr>
              <w:rPr>
                <w:color w:val="FF0000"/>
              </w:rPr>
            </w:pPr>
            <w:r w:rsidRPr="003013EA">
              <w:t>Maria Elena Solis:  Higher Education Centers (NC, OM, SY and CCAC)</w:t>
            </w:r>
          </w:p>
        </w:tc>
      </w:tr>
      <w:tr w:rsidR="003013EA" w:rsidRPr="002462A5" w14:paraId="51760175"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2"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77777777" w:rsidR="003013EA" w:rsidRPr="00646739" w:rsidRDefault="003013EA" w:rsidP="00EF24F0">
            <w:r w:rsidRPr="00646739">
              <w:t>Concetta Calandra:-School of Language &amp; Literature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0EE086D8" w:rsidR="003013EA" w:rsidRPr="00767B35" w:rsidRDefault="003013EA" w:rsidP="00A554BD">
            <w:pPr>
              <w:rPr>
                <w:strike/>
                <w:color w:val="FF0000"/>
              </w:rPr>
            </w:pPr>
            <w:r w:rsidRPr="00187CF9">
              <w:t>Michael Swingle:  ASO Representative</w:t>
            </w:r>
          </w:p>
        </w:tc>
      </w:tr>
      <w:tr w:rsidR="003013EA" w:rsidRPr="002462A5" w14:paraId="51760179"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6"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77777777" w:rsidR="003013EA" w:rsidRPr="00767B35" w:rsidRDefault="003013EA" w:rsidP="00EF24F0">
            <w:r w:rsidRPr="00767B35">
              <w:t>Kathleen Canny Lopez:  School of Health, Exercise Science, Athletics &amp; Applied Technology</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56A1B66D" w:rsidR="003013EA" w:rsidRPr="00E47AC4" w:rsidRDefault="003013EA" w:rsidP="00A554BD">
            <w:pPr>
              <w:rPr>
                <w:strike/>
                <w:color w:val="FF0000"/>
              </w:rPr>
            </w:pPr>
            <w:r>
              <w:t>Melissa Williams</w:t>
            </w:r>
            <w:r w:rsidRPr="00E47AC4">
              <w:t>:  Disability Support Services</w:t>
            </w:r>
          </w:p>
        </w:tc>
      </w:tr>
      <w:tr w:rsidR="003013EA" w:rsidRPr="002462A5" w14:paraId="5176017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A"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77777777" w:rsidR="003013EA" w:rsidRPr="00767B35" w:rsidRDefault="003013EA" w:rsidP="00EF24F0">
            <w:r w:rsidRPr="00767B35">
              <w:t>Russ Corpron:  Part-time Faculty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14E06903" w:rsidR="003013EA" w:rsidRPr="00767B35" w:rsidRDefault="003013EA" w:rsidP="00A554BD">
            <w:pPr>
              <w:rPr>
                <w:color w:val="FF0000"/>
              </w:rPr>
            </w:pPr>
            <w:r w:rsidRPr="00E47AC4">
              <w:rPr>
                <w:strike/>
              </w:rPr>
              <w:t>Randy Beach:  Institutional Program Review and Outcomes Coordinator (Resource)</w:t>
            </w:r>
          </w:p>
        </w:tc>
      </w:tr>
      <w:tr w:rsidR="003013EA" w:rsidRPr="002462A5" w14:paraId="51760181"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E"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77777777" w:rsidR="003013EA" w:rsidRPr="00646739" w:rsidRDefault="003013EA" w:rsidP="00EF24F0">
            <w:r w:rsidRPr="00646739">
              <w:t>Scott Finn:  Counseling &amp; Personal Development</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002963C6" w:rsidR="003013EA" w:rsidRPr="00646739" w:rsidRDefault="003013EA" w:rsidP="00A82324">
            <w:pPr>
              <w:rPr>
                <w:strike/>
              </w:rPr>
            </w:pPr>
            <w:r w:rsidRPr="00646739">
              <w:rPr>
                <w:strike/>
              </w:rPr>
              <w:t>Dan Borges:  Chief Information Systems Officer (Resource)</w:t>
            </w:r>
          </w:p>
        </w:tc>
      </w:tr>
      <w:tr w:rsidR="003013EA" w:rsidRPr="002462A5" w14:paraId="51760185"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2"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11EBE376" w:rsidR="003013EA" w:rsidRPr="00722F15" w:rsidRDefault="003013EA" w:rsidP="00A554BD">
            <w:r w:rsidRPr="001E27EF">
              <w:t>Emily Lynch Morissette:  School of Social Science, Business, and Humanities</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4EE54193" w:rsidR="003013EA" w:rsidRPr="00767B35" w:rsidRDefault="003013EA" w:rsidP="00A554BD">
            <w:pPr>
              <w:rPr>
                <w:strike/>
              </w:rPr>
            </w:pPr>
            <w:r w:rsidRPr="00767B35">
              <w:t>Al Garrett:  Institutional Technology (Resource)</w:t>
            </w:r>
          </w:p>
        </w:tc>
      </w:tr>
      <w:tr w:rsidR="003013EA" w:rsidRPr="002462A5" w14:paraId="51760189"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6"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2181CDF5" w:rsidR="003013EA" w:rsidRPr="001E27EF" w:rsidRDefault="003013EA" w:rsidP="00EF24F0">
            <w:pPr>
              <w:rPr>
                <w:strike/>
              </w:rPr>
            </w:pPr>
            <w:r w:rsidRPr="00A0109A">
              <w:t>Lauren McFall:  Library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4C118968" w:rsidR="003013EA" w:rsidRPr="00BD6533" w:rsidRDefault="003013EA" w:rsidP="00A554BD">
            <w:r w:rsidRPr="00767B35">
              <w:rPr>
                <w:strike/>
              </w:rPr>
              <w:t>Paul Norris:  Institutional Technology (Resource)</w:t>
            </w:r>
          </w:p>
        </w:tc>
      </w:tr>
      <w:tr w:rsidR="003013EA" w:rsidRPr="002462A5" w14:paraId="5176018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A"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0BC6EA4D" w:rsidR="003013EA" w:rsidRPr="001E27EF" w:rsidRDefault="003013EA" w:rsidP="00EF24F0">
            <w:r w:rsidRPr="001E27EF">
              <w:t>Jorge Pastrana:  School of Arts and Communication</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57D13D50" w:rsidR="003013EA" w:rsidRPr="00DD2AAE" w:rsidRDefault="003013EA" w:rsidP="00A554BD">
            <w:pPr>
              <w:rPr>
                <w:strike/>
                <w:color w:val="FF0000"/>
              </w:rPr>
            </w:pPr>
            <w:r w:rsidRPr="00DD2AAE">
              <w:rPr>
                <w:strike/>
              </w:rPr>
              <w:t>Andre Ortiz:  Training Services Coordinator (Resource)</w:t>
            </w:r>
          </w:p>
        </w:tc>
      </w:tr>
      <w:tr w:rsidR="003013EA" w:rsidRPr="002462A5" w14:paraId="2AC7936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39EE2804"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81E857" w14:textId="69174B96" w:rsidR="003013EA" w:rsidRPr="001E27EF" w:rsidRDefault="003013EA" w:rsidP="00EF24F0">
            <w:r w:rsidRPr="00767B35">
              <w:rPr>
                <w:strike/>
              </w:rPr>
              <w:t>Andrew Rempt:  Academic Success Center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BAFEA4" w14:textId="1129FA6F" w:rsidR="003013EA" w:rsidRPr="00646739" w:rsidRDefault="003013EA" w:rsidP="00A554BD">
            <w:pPr>
              <w:rPr>
                <w:color w:val="FF0000"/>
              </w:rPr>
            </w:pPr>
            <w:r w:rsidRPr="00646739">
              <w:t>Todd Williamson:  Online Learning Center (Resource)</w:t>
            </w:r>
          </w:p>
        </w:tc>
      </w:tr>
      <w:tr w:rsidR="003013EA" w:rsidRPr="002462A5" w14:paraId="51760191"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E"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534711B2" w:rsidR="003013EA" w:rsidRPr="00A0109A" w:rsidRDefault="003013EA" w:rsidP="00EF24F0">
            <w:r w:rsidRPr="00767B35">
              <w:t>Carl Scarbnick:  School of Math, Sciences &amp; Engineering</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12793C09" w:rsidR="003013EA" w:rsidRDefault="003013EA" w:rsidP="00A554BD">
            <w:pPr>
              <w:rPr>
                <w:color w:val="FF0000"/>
              </w:rPr>
            </w:pPr>
            <w:r>
              <w:rPr>
                <w:color w:val="FF0000"/>
              </w:rPr>
              <w:t>Vacant:  School of Continuing Ed., Economic &amp; Workforce Dev.</w:t>
            </w:r>
          </w:p>
        </w:tc>
      </w:tr>
      <w:tr w:rsidR="00103E1E" w:rsidRPr="002462A5" w14:paraId="51760195" w14:textId="77777777" w:rsidTr="00DD2AAE">
        <w:trPr>
          <w:trHeight w:val="360"/>
          <w:jc w:val="center"/>
        </w:trPr>
        <w:tc>
          <w:tcPr>
            <w:tcW w:w="1197" w:type="dxa"/>
            <w:shd w:val="clear" w:color="auto" w:fill="F2F2F2" w:themeFill="background1" w:themeFillShade="F2"/>
            <w:vAlign w:val="center"/>
          </w:tcPr>
          <w:p w14:paraId="51760192" w14:textId="77777777" w:rsidR="00103E1E" w:rsidRPr="002462A5" w:rsidRDefault="00103E1E" w:rsidP="006D5CF3">
            <w:pPr>
              <w:pStyle w:val="AllCapsHeading"/>
              <w:rPr>
                <w:rFonts w:cs="Tahoma"/>
                <w:color w:val="auto"/>
              </w:rPr>
            </w:pPr>
            <w:r>
              <w:rPr>
                <w:rFonts w:cs="Tahoma"/>
                <w:color w:val="auto"/>
              </w:rPr>
              <w:t>GUEST/s</w:t>
            </w:r>
          </w:p>
        </w:tc>
        <w:tc>
          <w:tcPr>
            <w:tcW w:w="4190" w:type="dxa"/>
            <w:gridSpan w:val="3"/>
            <w:tcBorders>
              <w:top w:val="single" w:sz="4" w:space="0" w:color="C0C0C0"/>
              <w:left w:val="nil"/>
              <w:bottom w:val="single" w:sz="4" w:space="0" w:color="C0C0C0"/>
              <w:right w:val="single" w:sz="4" w:space="0" w:color="C0C0C0"/>
            </w:tcBorders>
            <w:shd w:val="clear" w:color="auto" w:fill="auto"/>
            <w:vAlign w:val="center"/>
          </w:tcPr>
          <w:p w14:paraId="51760193" w14:textId="6A25CEDA" w:rsidR="00103E1E" w:rsidRPr="0006263D" w:rsidRDefault="00646739" w:rsidP="00663155">
            <w:pPr>
              <w:rPr>
                <w:color w:val="FF0000"/>
              </w:rPr>
            </w:pPr>
            <w:r w:rsidRPr="00646739">
              <w:t>Vince Berling</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4" w14:textId="4A8DD44F" w:rsidR="00103E1E" w:rsidRPr="0006263D" w:rsidRDefault="00103E1E" w:rsidP="000C0334">
            <w:pPr>
              <w:rPr>
                <w:color w:val="FF0000"/>
              </w:rPr>
            </w:pPr>
          </w:p>
        </w:tc>
      </w:tr>
      <w:tr w:rsidR="00E47AC4" w:rsidRPr="002462A5" w14:paraId="51760198" w14:textId="77777777"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14:paraId="51760196" w14:textId="77777777" w:rsidR="00E47AC4" w:rsidRPr="002462A5" w:rsidRDefault="00E47AC4" w:rsidP="00BE4C59">
            <w:pPr>
              <w:pStyle w:val="Heading2"/>
              <w:numPr>
                <w:ilvl w:val="0"/>
                <w:numId w:val="4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DD2AAE">
        <w:trPr>
          <w:trHeight w:val="24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5CEF39A5" w:rsidR="00E47AC4" w:rsidRDefault="00E47AC4" w:rsidP="00BB58E1">
            <w:pPr>
              <w:rPr>
                <w:rFonts w:cs="Tahoma"/>
              </w:rPr>
            </w:pPr>
            <w:r>
              <w:rPr>
                <w:rFonts w:cs="Tahoma"/>
              </w:rPr>
              <w:t>Approval of agenda. M/S/C.</w:t>
            </w:r>
          </w:p>
        </w:tc>
      </w:tr>
      <w:tr w:rsidR="00E47AC4" w:rsidRPr="002462A5" w14:paraId="517601A8"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6" w14:textId="47E0E643" w:rsidR="00E47AC4" w:rsidRPr="002462A5" w:rsidRDefault="00E47AC4" w:rsidP="007177BA">
            <w:pPr>
              <w:pStyle w:val="Heading2"/>
              <w:numPr>
                <w:ilvl w:val="0"/>
                <w:numId w:val="41"/>
              </w:numPr>
              <w:rPr>
                <w:rFonts w:cs="Tahoma"/>
                <w:b/>
              </w:rPr>
            </w:pPr>
            <w:r>
              <w:rPr>
                <w:rFonts w:cs="Tahoma"/>
                <w:b/>
              </w:rPr>
              <w:t xml:space="preserve">Approval of Minutes from </w:t>
            </w:r>
            <w:r w:rsidR="007177BA">
              <w:rPr>
                <w:rFonts w:cs="Tahoma"/>
                <w:b/>
              </w:rPr>
              <w:t>04</w:t>
            </w:r>
            <w:r w:rsidR="00BD0950">
              <w:rPr>
                <w:rFonts w:cs="Tahoma"/>
                <w:b/>
              </w:rPr>
              <w:t>/</w:t>
            </w:r>
            <w:r w:rsidR="007177BA">
              <w:rPr>
                <w:rFonts w:cs="Tahoma"/>
                <w:b/>
              </w:rPr>
              <w:t>16</w:t>
            </w:r>
            <w:r w:rsidR="00E91C88">
              <w:rPr>
                <w:rFonts w:cs="Tahoma"/>
                <w:b/>
              </w:rPr>
              <w:t>/1</w:t>
            </w:r>
            <w:r w:rsidR="007177BA">
              <w:rPr>
                <w:rFonts w:cs="Tahoma"/>
                <w:b/>
              </w:rPr>
              <w:t>5</w:t>
            </w:r>
          </w:p>
        </w:tc>
        <w:tc>
          <w:tcPr>
            <w:tcW w:w="3225" w:type="dxa"/>
            <w:tcBorders>
              <w:bottom w:val="single" w:sz="12" w:space="0" w:color="999999"/>
            </w:tcBorders>
            <w:shd w:val="clear" w:color="auto" w:fill="auto"/>
            <w:tcMar>
              <w:left w:w="0" w:type="dxa"/>
            </w:tcMar>
            <w:vAlign w:val="center"/>
          </w:tcPr>
          <w:p w14:paraId="517601A7" w14:textId="77777777" w:rsidR="00E47AC4" w:rsidRPr="002462A5" w:rsidRDefault="00E47AC4" w:rsidP="00D63992">
            <w:pPr>
              <w:pStyle w:val="Heading5"/>
              <w:rPr>
                <w:rFonts w:cs="Tahoma"/>
              </w:rPr>
            </w:pPr>
            <w:r>
              <w:rPr>
                <w:rFonts w:cs="Tahoma"/>
              </w:rPr>
              <w:t>elisabeth shapiro</w:t>
            </w:r>
          </w:p>
        </w:tc>
      </w:tr>
      <w:tr w:rsidR="00E47AC4" w:rsidRPr="00BD1213" w14:paraId="517601AB" w14:textId="77777777" w:rsidTr="00DD2AAE">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9" w14:textId="77777777" w:rsidR="00E47AC4" w:rsidRPr="002462A5" w:rsidRDefault="00E47AC4" w:rsidP="00D63992">
            <w:pPr>
              <w:pStyle w:val="AllCapsHeading"/>
              <w:rPr>
                <w:rFonts w:cs="Tahoma"/>
                <w:color w:val="auto"/>
              </w:rPr>
            </w:pPr>
            <w:r>
              <w:rPr>
                <w:rFonts w:cs="Tahoma"/>
                <w:color w:val="auto"/>
              </w:rPr>
              <w:t>action item</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AA" w14:textId="25C9E586" w:rsidR="00E47AC4" w:rsidRPr="00BD1213" w:rsidRDefault="00044A8C" w:rsidP="00D63992">
            <w:pPr>
              <w:rPr>
                <w:rFonts w:cs="Tahoma"/>
              </w:rPr>
            </w:pPr>
            <w:r w:rsidRPr="00044A8C">
              <w:rPr>
                <w:rFonts w:cs="Tahoma"/>
              </w:rPr>
              <w:t>Postponed.</w:t>
            </w:r>
          </w:p>
        </w:tc>
      </w:tr>
      <w:tr w:rsidR="00E47AC4" w:rsidRPr="00BD1213" w14:paraId="517601AD" w14:textId="77777777"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AC" w14:textId="693B59F3" w:rsidR="00E47AC4" w:rsidRDefault="00044A8C" w:rsidP="007177BA">
            <w:pPr>
              <w:rPr>
                <w:rFonts w:cs="Tahoma"/>
              </w:rPr>
            </w:pPr>
            <w:r w:rsidRPr="00044A8C">
              <w:rPr>
                <w:rFonts w:cs="Tahoma"/>
              </w:rPr>
              <w:t>Postponed.</w:t>
            </w:r>
          </w:p>
        </w:tc>
      </w:tr>
      <w:tr w:rsidR="00E47AC4" w:rsidRPr="002462A5" w14:paraId="517601B0"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E" w14:textId="4B146727" w:rsidR="00E47AC4" w:rsidRPr="002462A5" w:rsidRDefault="00187CF9" w:rsidP="00BE4C59">
            <w:pPr>
              <w:pStyle w:val="Heading2"/>
              <w:numPr>
                <w:ilvl w:val="0"/>
                <w:numId w:val="4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DD2AAE">
        <w:trPr>
          <w:trHeight w:val="43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77777777" w:rsidR="00E47AC4" w:rsidRPr="002462A5" w:rsidRDefault="00E47AC4" w:rsidP="004E1B0A">
            <w:pPr>
              <w:pStyle w:val="AllCapsHeading"/>
              <w:rPr>
                <w:rFonts w:cs="Tahoma"/>
                <w:color w:val="auto"/>
              </w:rPr>
            </w:pPr>
            <w:r w:rsidRPr="002462A5">
              <w:rPr>
                <w:rFonts w:cs="Tahoma"/>
                <w:color w:val="auto"/>
              </w:rPr>
              <w:t>Discussion</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B3" w14:textId="070259EB" w:rsidR="00971B8B" w:rsidRPr="00481B6E" w:rsidRDefault="00FB6230" w:rsidP="00481B6E">
            <w:pPr>
              <w:rPr>
                <w:rFonts w:cs="Tahoma"/>
              </w:rPr>
            </w:pPr>
            <w:r>
              <w:rPr>
                <w:rFonts w:cs="Tahoma"/>
              </w:rPr>
              <w:t>No Public Comment was given as this time.</w:t>
            </w:r>
          </w:p>
        </w:tc>
      </w:tr>
      <w:tr w:rsidR="00E47AC4" w:rsidRPr="002462A5" w14:paraId="517601B9"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B7" w14:textId="271A2588" w:rsidR="008046DA" w:rsidRPr="001E27EF" w:rsidRDefault="007177BA" w:rsidP="00187CF9">
            <w:pPr>
              <w:pStyle w:val="ListParagraph"/>
              <w:numPr>
                <w:ilvl w:val="0"/>
                <w:numId w:val="41"/>
              </w:numPr>
              <w:rPr>
                <w:b/>
                <w:sz w:val="24"/>
                <w:szCs w:val="24"/>
              </w:rPr>
            </w:pPr>
            <w:r>
              <w:rPr>
                <w:b/>
                <w:sz w:val="24"/>
                <w:szCs w:val="24"/>
              </w:rPr>
              <w:t>Replacement Technology</w:t>
            </w:r>
          </w:p>
        </w:tc>
        <w:tc>
          <w:tcPr>
            <w:tcW w:w="3225" w:type="dxa"/>
            <w:tcBorders>
              <w:bottom w:val="single" w:sz="12" w:space="0" w:color="999999"/>
            </w:tcBorders>
            <w:shd w:val="clear" w:color="auto" w:fill="auto"/>
            <w:tcMar>
              <w:left w:w="0" w:type="dxa"/>
            </w:tcMar>
            <w:vAlign w:val="center"/>
          </w:tcPr>
          <w:p w14:paraId="517601B8" w14:textId="792AE925" w:rsidR="00E47AC4" w:rsidRPr="002462A5" w:rsidRDefault="007177BA" w:rsidP="00187CF9">
            <w:pPr>
              <w:pStyle w:val="Heading5"/>
              <w:rPr>
                <w:rFonts w:cs="Tahoma"/>
              </w:rPr>
            </w:pPr>
            <w:r>
              <w:rPr>
                <w:rFonts w:cs="Tahoma"/>
              </w:rPr>
              <w:t>group discussion</w:t>
            </w:r>
            <w:r w:rsidR="00AB4CA1">
              <w:rPr>
                <w:rFonts w:cs="Tahoma"/>
              </w:rPr>
              <w:t xml:space="preserve"> </w:t>
            </w:r>
          </w:p>
        </w:tc>
      </w:tr>
      <w:tr w:rsidR="00E47AC4" w:rsidRPr="002D7E0E" w14:paraId="517601D6" w14:textId="77777777" w:rsidTr="00DD2AAE">
        <w:trPr>
          <w:trHeight w:val="25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A" w14:textId="77777777" w:rsidR="00E47AC4" w:rsidRPr="002462A5" w:rsidRDefault="00E47AC4" w:rsidP="00614C2C">
            <w:pPr>
              <w:pStyle w:val="AllCapsHeading"/>
              <w:rPr>
                <w:rFonts w:cs="Tahoma"/>
                <w:color w:val="auto"/>
              </w:rPr>
            </w:pPr>
            <w:r w:rsidRPr="002462A5">
              <w:rPr>
                <w:rFonts w:cs="Tahoma"/>
                <w:color w:val="auto"/>
              </w:rPr>
              <w:t>Discussion</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3114E0A" w14:textId="77777777" w:rsidR="00973BAE" w:rsidRDefault="00973BAE" w:rsidP="00924DD5">
            <w:pPr>
              <w:rPr>
                <w:rFonts w:cs="Tahoma"/>
              </w:rPr>
            </w:pPr>
            <w:r>
              <w:rPr>
                <w:rFonts w:cs="Tahoma"/>
              </w:rPr>
              <w:t xml:space="preserve">We had $75,000 left.  Mike had a proposal, which he showed on the screen to the committee.  </w:t>
            </w:r>
          </w:p>
          <w:p w14:paraId="0DEED237" w14:textId="77777777" w:rsidR="00973BAE" w:rsidRDefault="00973BAE" w:rsidP="00924DD5">
            <w:pPr>
              <w:rPr>
                <w:rFonts w:cs="Tahoma"/>
              </w:rPr>
            </w:pPr>
          </w:p>
          <w:p w14:paraId="4CF3B2F1" w14:textId="77777777" w:rsidR="00CE45E5" w:rsidRDefault="00973BAE" w:rsidP="00924DD5">
            <w:pPr>
              <w:rPr>
                <w:rFonts w:cs="Tahoma"/>
              </w:rPr>
            </w:pPr>
            <w:r>
              <w:rPr>
                <w:rFonts w:cs="Tahoma"/>
              </w:rPr>
              <w:t xml:space="preserve">Take funds and </w:t>
            </w:r>
            <w:r w:rsidR="0065687C">
              <w:rPr>
                <w:rFonts w:cs="Tahoma"/>
              </w:rPr>
              <w:t xml:space="preserve">replace </w:t>
            </w:r>
            <w:r>
              <w:rPr>
                <w:rFonts w:cs="Tahoma"/>
              </w:rPr>
              <w:t>5 Podium Computer ~and replace 22 computers for the library</w:t>
            </w:r>
          </w:p>
          <w:p w14:paraId="3C24988C" w14:textId="77777777" w:rsidR="00C31C1A" w:rsidRDefault="00C31C1A" w:rsidP="00924DD5">
            <w:pPr>
              <w:rPr>
                <w:rFonts w:cs="Tahoma"/>
              </w:rPr>
            </w:pPr>
          </w:p>
          <w:p w14:paraId="62FD1A42" w14:textId="77777777" w:rsidR="00C31C1A" w:rsidRDefault="00C31C1A" w:rsidP="00C31C1A">
            <w:pPr>
              <w:rPr>
                <w:rFonts w:cs="Tahoma"/>
              </w:rPr>
            </w:pPr>
            <w:r>
              <w:rPr>
                <w:rFonts w:cs="Tahoma"/>
              </w:rPr>
              <w:t>There was a motion that this committee recommend that we take the funds that we have and replace the 2008 classroom podium computers and then replace all the library classroom computers at the same time for efficiency with the remaining money and other money which the institution can find from another source and to have the same image on all the library computers preferably before the fall semester.  The motion was second and passed unanimously.</w:t>
            </w:r>
          </w:p>
          <w:p w14:paraId="22E5494B" w14:textId="77777777" w:rsidR="00C31C1A" w:rsidRDefault="00C31C1A" w:rsidP="00C31C1A">
            <w:pPr>
              <w:rPr>
                <w:rFonts w:cs="Tahoma"/>
              </w:rPr>
            </w:pPr>
          </w:p>
          <w:p w14:paraId="289FF7A0" w14:textId="77777777" w:rsidR="00C31C1A" w:rsidRDefault="00C31C1A" w:rsidP="00C31C1A">
            <w:pPr>
              <w:rPr>
                <w:rFonts w:cs="Tahoma"/>
              </w:rPr>
            </w:pPr>
            <w:r>
              <w:rPr>
                <w:rFonts w:cs="Tahoma"/>
              </w:rPr>
              <w:t>There was a motion that when the block grant or other funds come through, to bring us up to compliance with modern standards regarding computer hardware.  That all campus computers be replaced that are older than four years old.  The motion was second and passed unanimously.</w:t>
            </w:r>
          </w:p>
          <w:p w14:paraId="1BEB78CA" w14:textId="77777777" w:rsidR="00C31C1A" w:rsidRDefault="00C31C1A" w:rsidP="00C31C1A">
            <w:pPr>
              <w:rPr>
                <w:rFonts w:cs="Tahoma"/>
              </w:rPr>
            </w:pPr>
          </w:p>
          <w:p w14:paraId="338591AF" w14:textId="77777777" w:rsidR="00C31C1A" w:rsidRDefault="00C31C1A" w:rsidP="00C31C1A">
            <w:pPr>
              <w:rPr>
                <w:rFonts w:cs="Tahoma"/>
              </w:rPr>
            </w:pPr>
          </w:p>
          <w:p w14:paraId="517601D5" w14:textId="278807CC" w:rsidR="00C31C1A" w:rsidRPr="00CE45E5" w:rsidRDefault="00C31C1A" w:rsidP="00C31C1A">
            <w:pPr>
              <w:rPr>
                <w:rFonts w:cs="Tahoma"/>
              </w:rPr>
            </w:pPr>
          </w:p>
        </w:tc>
      </w:tr>
      <w:tr w:rsidR="001E27EF" w:rsidRPr="002462A5" w14:paraId="0278CA78"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2692F610" w14:textId="00164653" w:rsidR="001E27EF" w:rsidRPr="002462A5" w:rsidRDefault="007177BA" w:rsidP="006F4679">
            <w:pPr>
              <w:pStyle w:val="Heading2"/>
              <w:numPr>
                <w:ilvl w:val="0"/>
                <w:numId w:val="41"/>
              </w:numPr>
              <w:rPr>
                <w:rFonts w:cs="Tahoma"/>
                <w:b/>
              </w:rPr>
            </w:pPr>
            <w:r>
              <w:rPr>
                <w:rFonts w:cs="Tahoma"/>
                <w:b/>
              </w:rPr>
              <w:lastRenderedPageBreak/>
              <w:t>Prioritization Rubric for next year</w:t>
            </w:r>
          </w:p>
        </w:tc>
        <w:tc>
          <w:tcPr>
            <w:tcW w:w="3225" w:type="dxa"/>
            <w:tcBorders>
              <w:bottom w:val="single" w:sz="12" w:space="0" w:color="999999"/>
            </w:tcBorders>
            <w:shd w:val="clear" w:color="auto" w:fill="auto"/>
            <w:tcMar>
              <w:left w:w="0" w:type="dxa"/>
            </w:tcMar>
            <w:vAlign w:val="center"/>
          </w:tcPr>
          <w:p w14:paraId="6EF685D2" w14:textId="686204AA" w:rsidR="001E27EF" w:rsidRPr="002462A5" w:rsidRDefault="007177BA" w:rsidP="006F4679">
            <w:pPr>
              <w:pStyle w:val="Heading5"/>
              <w:rPr>
                <w:rFonts w:cs="Tahoma"/>
              </w:rPr>
            </w:pPr>
            <w:r>
              <w:rPr>
                <w:rFonts w:cs="Tahoma"/>
              </w:rPr>
              <w:t>Group discussion</w:t>
            </w:r>
            <w:r w:rsidR="001E27EF" w:rsidRPr="00AB4CA1">
              <w:rPr>
                <w:rFonts w:cs="Tahoma"/>
              </w:rPr>
              <w:t xml:space="preserve"> </w:t>
            </w:r>
          </w:p>
        </w:tc>
      </w:tr>
      <w:tr w:rsidR="001E27EF" w:rsidRPr="00172478" w14:paraId="17F88BEA" w14:textId="77777777" w:rsidTr="00DD2AAE">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EFC16C3" w14:textId="77777777" w:rsidR="001E27EF" w:rsidRPr="002462A5" w:rsidRDefault="001E27EF" w:rsidP="006F4679">
            <w:pPr>
              <w:pStyle w:val="AllCapsHeading"/>
              <w:rPr>
                <w:rFonts w:cs="Tahoma"/>
                <w:color w:val="auto"/>
              </w:rPr>
            </w:pPr>
            <w:r w:rsidRPr="002462A5">
              <w:rPr>
                <w:rFonts w:cs="Tahoma"/>
                <w:color w:val="auto"/>
              </w:rPr>
              <w:t>Discussion</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558C234" w14:textId="77777777" w:rsidR="00B00C91" w:rsidRDefault="00FB6230" w:rsidP="00B00C91">
            <w:pPr>
              <w:rPr>
                <w:rFonts w:cs="Tahoma"/>
              </w:rPr>
            </w:pPr>
            <w:r>
              <w:rPr>
                <w:rFonts w:cs="Tahoma"/>
              </w:rPr>
              <w:t>Vince Berling was introduced to the committee as a future student representative</w:t>
            </w:r>
            <w:r w:rsidR="00D768F5">
              <w:rPr>
                <w:rFonts w:cs="Tahoma"/>
              </w:rPr>
              <w:t xml:space="preserve">.  The committee introduced themselves and Elisabeth explained what the ATC Committee is responsible for.  </w:t>
            </w:r>
            <w:r w:rsidR="00B57E96">
              <w:rPr>
                <w:rFonts w:cs="Tahoma"/>
              </w:rPr>
              <w:t xml:space="preserve">The ITC falls under the SCC.  This committee focuses on and prioritizes on the academic technology side and makes recommendations to the ITC.  We are also a sub-committee of the Academic Senate, which is the faculty who get together who decide on all kinds of academic issues.  We are representing faculty from the Academic Senate regarding technology because technology impacts everything that happens for academics.   </w:t>
            </w:r>
          </w:p>
          <w:p w14:paraId="6CADDDDD" w14:textId="77777777" w:rsidR="00B00C91" w:rsidRDefault="00B00C91" w:rsidP="00B00C91">
            <w:pPr>
              <w:rPr>
                <w:rFonts w:cs="Tahoma"/>
              </w:rPr>
            </w:pPr>
          </w:p>
          <w:p w14:paraId="72F9D477" w14:textId="691F3129" w:rsidR="00B00C91" w:rsidRDefault="00B00C91" w:rsidP="00B00C91">
            <w:pPr>
              <w:rPr>
                <w:rFonts w:cs="Tahoma"/>
              </w:rPr>
            </w:pPr>
            <w:r>
              <w:rPr>
                <w:rFonts w:cs="Tahoma"/>
              </w:rPr>
              <w:t xml:space="preserve">The data should be kept all together.  The more information that gets funneled through, that can’t get lost, the better.  The vote needs to have more adequate time.  We should be pushing to make sure that we have full discussion on what we spent all that time on and that we have sufficient amount of time to vote on as faculty and staff members on the ITC.  </w:t>
            </w:r>
          </w:p>
          <w:p w14:paraId="00404B77" w14:textId="708DE206" w:rsidR="00FB6230" w:rsidRDefault="00FB6230" w:rsidP="00EB7E7F">
            <w:pPr>
              <w:rPr>
                <w:rFonts w:cs="Tahoma"/>
              </w:rPr>
            </w:pPr>
          </w:p>
          <w:p w14:paraId="34594CAE" w14:textId="77777777" w:rsidR="009D3FD4" w:rsidRDefault="00C56484" w:rsidP="00EB7E7F">
            <w:pPr>
              <w:rPr>
                <w:rFonts w:cs="Tahoma"/>
              </w:rPr>
            </w:pPr>
            <w:r>
              <w:rPr>
                <w:rFonts w:cs="Tahoma"/>
              </w:rPr>
              <w:t xml:space="preserve">The group discussed the rubrics </w:t>
            </w:r>
            <w:r w:rsidR="00116041">
              <w:rPr>
                <w:rFonts w:cs="Tahoma"/>
              </w:rPr>
              <w:t>that w</w:t>
            </w:r>
            <w:r>
              <w:rPr>
                <w:rFonts w:cs="Tahoma"/>
              </w:rPr>
              <w:t>ere</w:t>
            </w:r>
            <w:r w:rsidR="00116041">
              <w:rPr>
                <w:rFonts w:cs="Tahoma"/>
              </w:rPr>
              <w:t xml:space="preserve"> u</w:t>
            </w:r>
            <w:r w:rsidR="00A55906">
              <w:rPr>
                <w:rFonts w:cs="Tahoma"/>
              </w:rPr>
              <w:t>sed last year</w:t>
            </w:r>
            <w:r>
              <w:rPr>
                <w:rFonts w:cs="Tahoma"/>
              </w:rPr>
              <w:t xml:space="preserve"> between the ITC and the ATC committees</w:t>
            </w:r>
            <w:r w:rsidR="00FB6230">
              <w:rPr>
                <w:rFonts w:cs="Tahoma"/>
              </w:rPr>
              <w:t xml:space="preserve">.  </w:t>
            </w:r>
            <w:r>
              <w:rPr>
                <w:rFonts w:cs="Tahoma"/>
              </w:rPr>
              <w:t xml:space="preserve">There was a suggestion to vote to accept to have a unified rubric.  </w:t>
            </w:r>
          </w:p>
          <w:p w14:paraId="78046723" w14:textId="77777777" w:rsidR="009D3FD4" w:rsidRDefault="009D3FD4" w:rsidP="00EB7E7F">
            <w:pPr>
              <w:rPr>
                <w:rFonts w:cs="Tahoma"/>
              </w:rPr>
            </w:pPr>
          </w:p>
          <w:p w14:paraId="5F8FE48B" w14:textId="46F45A85" w:rsidR="0017341B" w:rsidRDefault="00C56484" w:rsidP="00EB7E7F">
            <w:pPr>
              <w:rPr>
                <w:rFonts w:cs="Tahoma"/>
              </w:rPr>
            </w:pPr>
            <w:r>
              <w:rPr>
                <w:rFonts w:cs="Tahoma"/>
              </w:rPr>
              <w:t xml:space="preserve">There was a motion to accept the ITC 2014 rubric with the exception to change the numbering that 4 </w:t>
            </w:r>
            <w:r w:rsidR="00792846">
              <w:rPr>
                <w:rFonts w:cs="Tahoma"/>
              </w:rPr>
              <w:t>come</w:t>
            </w:r>
            <w:r>
              <w:rPr>
                <w:rFonts w:cs="Tahoma"/>
              </w:rPr>
              <w:t xml:space="preserve"> before 5.  The motion passed unanimously.  </w:t>
            </w:r>
            <w:r w:rsidR="001E6ECC">
              <w:rPr>
                <w:rFonts w:cs="Tahoma"/>
              </w:rPr>
              <w:t>This form will be the ATC’s 2015 rubric.</w:t>
            </w:r>
          </w:p>
          <w:p w14:paraId="59D907F1" w14:textId="77777777" w:rsidR="00FB6230" w:rsidRDefault="00FB6230" w:rsidP="00EB7E7F">
            <w:pPr>
              <w:rPr>
                <w:rFonts w:cs="Tahoma"/>
              </w:rPr>
            </w:pPr>
          </w:p>
          <w:p w14:paraId="5BF59E3A" w14:textId="0F1DE108" w:rsidR="009D3FD4" w:rsidRDefault="001E6ECC" w:rsidP="00EB7E7F">
            <w:pPr>
              <w:rPr>
                <w:rFonts w:cs="Tahoma"/>
              </w:rPr>
            </w:pPr>
            <w:r>
              <w:rPr>
                <w:rFonts w:cs="Tahoma"/>
              </w:rPr>
              <w:t xml:space="preserve">There was a motion to have </w:t>
            </w:r>
            <w:r w:rsidR="009D3FD4">
              <w:rPr>
                <w:rFonts w:cs="Tahoma"/>
              </w:rPr>
              <w:t>Carl and Elisabeth send an email to the ITC co-chairs to recommend that there be a link to the rubric to be within the application that exist in the form for the snapshot in the program review</w:t>
            </w:r>
            <w:r>
              <w:rPr>
                <w:rFonts w:cs="Tahoma"/>
              </w:rPr>
              <w:t xml:space="preserve">.  The motion passed unanimously.  </w:t>
            </w:r>
          </w:p>
          <w:p w14:paraId="104E0845" w14:textId="77777777" w:rsidR="001E6ECC" w:rsidRDefault="001E6ECC" w:rsidP="00EB7E7F">
            <w:pPr>
              <w:rPr>
                <w:rFonts w:cs="Tahoma"/>
              </w:rPr>
            </w:pPr>
          </w:p>
          <w:p w14:paraId="5928CC52" w14:textId="06CE2A27" w:rsidR="001E6ECC" w:rsidRDefault="001E6ECC" w:rsidP="00EB7E7F">
            <w:pPr>
              <w:rPr>
                <w:rFonts w:cs="Tahoma"/>
              </w:rPr>
            </w:pPr>
            <w:r>
              <w:rPr>
                <w:rFonts w:cs="Tahoma"/>
              </w:rPr>
              <w:t xml:space="preserve">We also want to brainstorm about directions that also can be included in the environment when filling out the snapshot to guide people to give us the information that we </w:t>
            </w:r>
            <w:r w:rsidR="00792846">
              <w:rPr>
                <w:rFonts w:cs="Tahoma"/>
              </w:rPr>
              <w:t>actually</w:t>
            </w:r>
            <w:r>
              <w:rPr>
                <w:rFonts w:cs="Tahoma"/>
              </w:rPr>
              <w:t xml:space="preserve"> need because we actually didn’t get it in some cases.  </w:t>
            </w:r>
            <w:r w:rsidR="00FB6230">
              <w:rPr>
                <w:rFonts w:cs="Tahoma"/>
              </w:rPr>
              <w:t>It was suggested to have a few examples included</w:t>
            </w:r>
            <w:r w:rsidR="00EC44FF">
              <w:rPr>
                <w:rFonts w:cs="Tahoma"/>
              </w:rPr>
              <w:t xml:space="preserve"> so it is easier to understand.   </w:t>
            </w:r>
            <w:r>
              <w:rPr>
                <w:rFonts w:cs="Tahoma"/>
              </w:rPr>
              <w:t xml:space="preserve">Lauren volunteered to go through and pick out the top five examples to </w:t>
            </w:r>
            <w:r w:rsidR="007A5FA6">
              <w:rPr>
                <w:rFonts w:cs="Tahoma"/>
              </w:rPr>
              <w:t xml:space="preserve">email to the committee so we can choose two or three models and then we can send them to Randy Beach, the IPRC, and Sam Chuey to include.  For example, under direction, don’t put the same item in academic and non-academic, it has to be one or the other.  If your item includes something that is technology, something that is </w:t>
            </w:r>
            <w:r w:rsidR="00792846">
              <w:rPr>
                <w:rFonts w:cs="Tahoma"/>
              </w:rPr>
              <w:t>facilities</w:t>
            </w:r>
            <w:r w:rsidR="007A5FA6">
              <w:rPr>
                <w:rFonts w:cs="Tahoma"/>
              </w:rPr>
              <w:t xml:space="preserve">, and something that is a small equipment item, please make sure to break it up and put it in the right forms.  </w:t>
            </w:r>
            <w:r w:rsidR="006651A9">
              <w:rPr>
                <w:rFonts w:cs="Tahoma"/>
              </w:rPr>
              <w:t xml:space="preserve">There was also a suggestion to have character limits in required fields.  </w:t>
            </w:r>
          </w:p>
          <w:p w14:paraId="79853D57" w14:textId="77777777" w:rsidR="006651A9" w:rsidRDefault="006651A9" w:rsidP="00EB7E7F">
            <w:pPr>
              <w:rPr>
                <w:rFonts w:cs="Tahoma"/>
              </w:rPr>
            </w:pPr>
          </w:p>
          <w:p w14:paraId="078F1B82" w14:textId="05AA15B9" w:rsidR="006651A9" w:rsidRDefault="006651A9" w:rsidP="00EB7E7F">
            <w:pPr>
              <w:rPr>
                <w:rFonts w:cs="Tahoma"/>
              </w:rPr>
            </w:pPr>
            <w:r>
              <w:rPr>
                <w:rFonts w:cs="Tahoma"/>
              </w:rPr>
              <w:t xml:space="preserve">We may want to send an email to the IPRC about the problem about redoing an entire room and how we might treat it separately.  We should also bring this up to the SCC.  It sounds like we should have a project manager who is controlling the project and then the individualized parts are parted out to the people who specialize to those things.  The project manager would still retain control of how that gets put into place.   </w:t>
            </w:r>
          </w:p>
          <w:p w14:paraId="65255DAB" w14:textId="77777777" w:rsidR="00B00C91" w:rsidRDefault="00B00C91" w:rsidP="00EB7E7F">
            <w:pPr>
              <w:rPr>
                <w:rFonts w:cs="Tahoma"/>
              </w:rPr>
            </w:pPr>
          </w:p>
          <w:p w14:paraId="65876906" w14:textId="0C8CDA48" w:rsidR="00B00C91" w:rsidRDefault="00B00C91" w:rsidP="00EB7E7F">
            <w:pPr>
              <w:rPr>
                <w:rFonts w:cs="Tahoma"/>
              </w:rPr>
            </w:pPr>
            <w:r>
              <w:rPr>
                <w:rFonts w:cs="Tahoma"/>
              </w:rPr>
              <w:t xml:space="preserve">We should have required training workshops available.  We want to include </w:t>
            </w:r>
            <w:r w:rsidR="00792846">
              <w:rPr>
                <w:rFonts w:cs="Tahoma"/>
              </w:rPr>
              <w:t>definitions</w:t>
            </w:r>
            <w:r>
              <w:rPr>
                <w:rFonts w:cs="Tahoma"/>
              </w:rPr>
              <w:t xml:space="preserve"> of what instructional and non-instructional are.  Give examples:  Technology includes:  Printers, monitors, and software, etc… Facilities includes:  Tables, chairs, etc…</w:t>
            </w:r>
          </w:p>
          <w:p w14:paraId="009E52FD" w14:textId="77777777" w:rsidR="00B00C91" w:rsidRDefault="00B00C91" w:rsidP="00EB7E7F">
            <w:pPr>
              <w:rPr>
                <w:rFonts w:cs="Tahoma"/>
              </w:rPr>
            </w:pPr>
          </w:p>
          <w:p w14:paraId="20FEFE32" w14:textId="77777777" w:rsidR="003B16CD" w:rsidRDefault="003B16CD" w:rsidP="00EB7E7F">
            <w:pPr>
              <w:rPr>
                <w:rFonts w:cs="Tahoma"/>
              </w:rPr>
            </w:pPr>
          </w:p>
          <w:p w14:paraId="716A813A" w14:textId="77777777" w:rsidR="003B16CD" w:rsidRDefault="003B16CD" w:rsidP="00EB7E7F">
            <w:pPr>
              <w:rPr>
                <w:rFonts w:cs="Tahoma"/>
                <w:b/>
              </w:rPr>
            </w:pPr>
            <w:r>
              <w:rPr>
                <w:rFonts w:cs="Tahoma"/>
                <w:b/>
              </w:rPr>
              <w:t>Announcements:</w:t>
            </w:r>
          </w:p>
          <w:p w14:paraId="175182CC" w14:textId="77777777" w:rsidR="003B16CD" w:rsidRDefault="003B16CD" w:rsidP="00EB7E7F">
            <w:pPr>
              <w:rPr>
                <w:rFonts w:cs="Tahoma"/>
                <w:b/>
              </w:rPr>
            </w:pPr>
          </w:p>
          <w:p w14:paraId="59A7702F" w14:textId="5E6C152D" w:rsidR="00B00C91" w:rsidRPr="008D7691" w:rsidRDefault="00B00C91" w:rsidP="00EB7E7F">
            <w:pPr>
              <w:rPr>
                <w:rFonts w:cs="Tahoma"/>
              </w:rPr>
            </w:pPr>
            <w:r w:rsidRPr="008D7691">
              <w:rPr>
                <w:rFonts w:cs="Tahoma"/>
              </w:rPr>
              <w:t>*Meeting-The committee agreed to have their meetings meet once a month on the 1</w:t>
            </w:r>
            <w:r w:rsidRPr="008D7691">
              <w:rPr>
                <w:rFonts w:cs="Tahoma"/>
                <w:vertAlign w:val="superscript"/>
              </w:rPr>
              <w:t>st</w:t>
            </w:r>
            <w:r w:rsidRPr="008D7691">
              <w:rPr>
                <w:rFonts w:cs="Tahoma"/>
              </w:rPr>
              <w:t xml:space="preserve"> Thursday for 1 ½ hours</w:t>
            </w:r>
            <w:r w:rsidR="00B3658F" w:rsidRPr="008D7691">
              <w:rPr>
                <w:rFonts w:cs="Tahoma"/>
              </w:rPr>
              <w:t>.</w:t>
            </w:r>
          </w:p>
          <w:p w14:paraId="6E72665B" w14:textId="77777777" w:rsidR="008D7691" w:rsidRPr="008D7691" w:rsidRDefault="008D7691" w:rsidP="00EB7E7F">
            <w:pPr>
              <w:rPr>
                <w:rFonts w:cs="Tahoma"/>
              </w:rPr>
            </w:pPr>
          </w:p>
          <w:p w14:paraId="37DF98E0" w14:textId="145197A5" w:rsidR="00FB6230" w:rsidRPr="0017341B" w:rsidRDefault="008D7691" w:rsidP="00906010">
            <w:pPr>
              <w:rPr>
                <w:rFonts w:cs="Tahoma"/>
              </w:rPr>
            </w:pPr>
            <w:r w:rsidRPr="008D7691">
              <w:rPr>
                <w:rFonts w:cs="Tahoma"/>
              </w:rPr>
              <w:t xml:space="preserve">It came up </w:t>
            </w:r>
            <w:r>
              <w:rPr>
                <w:rFonts w:cs="Tahoma"/>
              </w:rPr>
              <w:t xml:space="preserve">in the ITC that CISO wants to change the global email.  Elisabeth did not really understand want she was voting on.  Elisabeth questioned about student groups on campus wanting to send out emails about speakers or fundraisers.  She was told that this was not an appropriate use of global email.  At that point, she felt uncomfortable about voting from a faculty perspective and wanted a face to face discussion.  From a technology standpoint, we should probably make it less confusing.  People get confused sometimes when they hit the “reply to all”, they really don’t mean to send it to everyone.  </w:t>
            </w:r>
            <w:r w:rsidR="009876B4">
              <w:rPr>
                <w:rFonts w:cs="Tahoma"/>
              </w:rPr>
              <w:t xml:space="preserve">It was suggested to give staff an education on how to filter out global emails and remind staff what is polite and effective use of global emails and set guidelines in a statement.  We might want to ask our union representatives what our rights are.  </w:t>
            </w:r>
          </w:p>
        </w:tc>
      </w:tr>
      <w:tr w:rsidR="00E47AC4" w:rsidRPr="005314E4" w14:paraId="5176020D"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20B" w14:textId="1DEC8FB3" w:rsidR="00E47AC4" w:rsidRPr="00505480" w:rsidRDefault="00E47AC4" w:rsidP="001E27EF">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DD2AAE">
        <w:trPr>
          <w:trHeight w:val="360"/>
          <w:jc w:val="center"/>
        </w:trPr>
        <w:tc>
          <w:tcPr>
            <w:tcW w:w="10502" w:type="dxa"/>
            <w:gridSpan w:val="6"/>
            <w:tcBorders>
              <w:bottom w:val="single" w:sz="12" w:space="0" w:color="999999"/>
            </w:tcBorders>
            <w:shd w:val="clear" w:color="auto" w:fill="FFFFCC"/>
            <w:tcMar>
              <w:left w:w="0" w:type="dxa"/>
            </w:tcMar>
            <w:vAlign w:val="center"/>
          </w:tcPr>
          <w:p w14:paraId="5176020E" w14:textId="4F8684CF" w:rsidR="00E47AC4" w:rsidRPr="00EA35F7" w:rsidRDefault="00E47AC4" w:rsidP="00187CF9">
            <w:pPr>
              <w:rPr>
                <w:rFonts w:cs="Tahoma"/>
              </w:rPr>
            </w:pPr>
            <w:r w:rsidRPr="00EA35F7">
              <w:rPr>
                <w:rFonts w:cs="Tahoma"/>
              </w:rPr>
              <w:t xml:space="preserve">The next ATC meeting will be </w:t>
            </w:r>
            <w:r w:rsidR="00187CF9">
              <w:rPr>
                <w:rFonts w:cs="Tahoma"/>
              </w:rPr>
              <w:t>March 19</w:t>
            </w:r>
            <w:r w:rsidRPr="00EA35F7">
              <w:rPr>
                <w:rFonts w:cs="Tahoma"/>
              </w:rPr>
              <w:t>, 201</w:t>
            </w:r>
            <w:r w:rsidR="001E27EF">
              <w:rPr>
                <w:rFonts w:cs="Tahoma"/>
              </w:rPr>
              <w:t>5</w:t>
            </w:r>
            <w:r w:rsidRPr="00EA35F7">
              <w:rPr>
                <w:rFonts w:cs="Tahoma"/>
              </w:rPr>
              <w:t xml:space="preserve"> in </w:t>
            </w:r>
            <w:r>
              <w:rPr>
                <w:rFonts w:cs="Tahoma"/>
              </w:rPr>
              <w:t xml:space="preserve">L </w:t>
            </w:r>
            <w:r w:rsidR="00D11B83">
              <w:rPr>
                <w:rFonts w:cs="Tahoma"/>
              </w:rPr>
              <w:t>246</w:t>
            </w:r>
            <w:r w:rsidRPr="00EA35F7">
              <w:rPr>
                <w:rFonts w:cs="Tahoma"/>
              </w:rPr>
              <w:t xml:space="preserve"> from 2:00-</w:t>
            </w:r>
            <w:r w:rsidR="00D11B83">
              <w:rPr>
                <w:rFonts w:cs="Tahoma"/>
              </w:rPr>
              <w:t>4</w:t>
            </w:r>
            <w:r w:rsidRPr="00EA35F7">
              <w:rPr>
                <w:rFonts w:cs="Tahoma"/>
              </w:rPr>
              <w:t>:00 p.m.</w:t>
            </w:r>
            <w:r>
              <w:rPr>
                <w:rFonts w:cs="Tahoma"/>
              </w:rPr>
              <w:t xml:space="preserve"> </w:t>
            </w:r>
          </w:p>
        </w:tc>
      </w:tr>
    </w:tbl>
    <w:p w14:paraId="51760210" w14:textId="77777777"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FD9"/>
    <w:multiLevelType w:val="hybridMultilevel"/>
    <w:tmpl w:val="B628B1E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361F4"/>
    <w:multiLevelType w:val="hybridMultilevel"/>
    <w:tmpl w:val="29E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767EE"/>
    <w:multiLevelType w:val="hybridMultilevel"/>
    <w:tmpl w:val="AF002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CC65A1D"/>
    <w:multiLevelType w:val="hybridMultilevel"/>
    <w:tmpl w:val="91481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442BA"/>
    <w:multiLevelType w:val="hybridMultilevel"/>
    <w:tmpl w:val="1FD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03D24"/>
    <w:multiLevelType w:val="hybridMultilevel"/>
    <w:tmpl w:val="92E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85ECB"/>
    <w:multiLevelType w:val="hybridMultilevel"/>
    <w:tmpl w:val="CFD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8392F"/>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F37"/>
    <w:multiLevelType w:val="hybridMultilevel"/>
    <w:tmpl w:val="FD2A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38BB"/>
    <w:multiLevelType w:val="hybridMultilevel"/>
    <w:tmpl w:val="2C7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A106C"/>
    <w:multiLevelType w:val="hybridMultilevel"/>
    <w:tmpl w:val="58D8E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0"/>
  </w:num>
  <w:num w:numId="4">
    <w:abstractNumId w:val="2"/>
  </w:num>
  <w:num w:numId="5">
    <w:abstractNumId w:val="36"/>
  </w:num>
  <w:num w:numId="6">
    <w:abstractNumId w:val="3"/>
  </w:num>
  <w:num w:numId="7">
    <w:abstractNumId w:val="4"/>
  </w:num>
  <w:num w:numId="8">
    <w:abstractNumId w:val="34"/>
  </w:num>
  <w:num w:numId="9">
    <w:abstractNumId w:val="47"/>
  </w:num>
  <w:num w:numId="10">
    <w:abstractNumId w:val="35"/>
  </w:num>
  <w:num w:numId="11">
    <w:abstractNumId w:val="45"/>
  </w:num>
  <w:num w:numId="12">
    <w:abstractNumId w:val="27"/>
  </w:num>
  <w:num w:numId="13">
    <w:abstractNumId w:val="8"/>
  </w:num>
  <w:num w:numId="14">
    <w:abstractNumId w:val="41"/>
  </w:num>
  <w:num w:numId="15">
    <w:abstractNumId w:val="5"/>
  </w:num>
  <w:num w:numId="16">
    <w:abstractNumId w:val="1"/>
  </w:num>
  <w:num w:numId="17">
    <w:abstractNumId w:val="6"/>
  </w:num>
  <w:num w:numId="18">
    <w:abstractNumId w:val="29"/>
  </w:num>
  <w:num w:numId="19">
    <w:abstractNumId w:val="16"/>
  </w:num>
  <w:num w:numId="20">
    <w:abstractNumId w:val="7"/>
  </w:num>
  <w:num w:numId="21">
    <w:abstractNumId w:val="18"/>
  </w:num>
  <w:num w:numId="22">
    <w:abstractNumId w:val="28"/>
  </w:num>
  <w:num w:numId="23">
    <w:abstractNumId w:val="32"/>
  </w:num>
  <w:num w:numId="24">
    <w:abstractNumId w:val="25"/>
  </w:num>
  <w:num w:numId="25">
    <w:abstractNumId w:val="20"/>
  </w:num>
  <w:num w:numId="26">
    <w:abstractNumId w:val="31"/>
  </w:num>
  <w:num w:numId="27">
    <w:abstractNumId w:val="22"/>
  </w:num>
  <w:num w:numId="28">
    <w:abstractNumId w:val="23"/>
  </w:num>
  <w:num w:numId="29">
    <w:abstractNumId w:val="13"/>
  </w:num>
  <w:num w:numId="30">
    <w:abstractNumId w:val="38"/>
  </w:num>
  <w:num w:numId="31">
    <w:abstractNumId w:val="39"/>
  </w:num>
  <w:num w:numId="32">
    <w:abstractNumId w:val="46"/>
  </w:num>
  <w:num w:numId="33">
    <w:abstractNumId w:val="21"/>
  </w:num>
  <w:num w:numId="34">
    <w:abstractNumId w:val="11"/>
  </w:num>
  <w:num w:numId="35">
    <w:abstractNumId w:val="0"/>
  </w:num>
  <w:num w:numId="36">
    <w:abstractNumId w:val="48"/>
  </w:num>
  <w:num w:numId="37">
    <w:abstractNumId w:val="33"/>
  </w:num>
  <w:num w:numId="38">
    <w:abstractNumId w:val="10"/>
  </w:num>
  <w:num w:numId="39">
    <w:abstractNumId w:val="49"/>
  </w:num>
  <w:num w:numId="40">
    <w:abstractNumId w:val="26"/>
  </w:num>
  <w:num w:numId="41">
    <w:abstractNumId w:val="9"/>
  </w:num>
  <w:num w:numId="42">
    <w:abstractNumId w:val="37"/>
  </w:num>
  <w:num w:numId="43">
    <w:abstractNumId w:val="19"/>
  </w:num>
  <w:num w:numId="44">
    <w:abstractNumId w:val="14"/>
  </w:num>
  <w:num w:numId="45">
    <w:abstractNumId w:val="42"/>
  </w:num>
  <w:num w:numId="46">
    <w:abstractNumId w:val="40"/>
  </w:num>
  <w:num w:numId="47">
    <w:abstractNumId w:val="17"/>
  </w:num>
  <w:num w:numId="48">
    <w:abstractNumId w:val="15"/>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481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654D"/>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4A8C"/>
    <w:rsid w:val="0004689A"/>
    <w:rsid w:val="00050C6B"/>
    <w:rsid w:val="00056FFC"/>
    <w:rsid w:val="00061890"/>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0F4A"/>
    <w:rsid w:val="000B3CD4"/>
    <w:rsid w:val="000B62E1"/>
    <w:rsid w:val="000C02F3"/>
    <w:rsid w:val="000C0334"/>
    <w:rsid w:val="000C2880"/>
    <w:rsid w:val="000C3139"/>
    <w:rsid w:val="000C4C7A"/>
    <w:rsid w:val="000C7B55"/>
    <w:rsid w:val="000D1482"/>
    <w:rsid w:val="000E0F7D"/>
    <w:rsid w:val="000E2145"/>
    <w:rsid w:val="000E4A9F"/>
    <w:rsid w:val="000E4CA4"/>
    <w:rsid w:val="000F7E6F"/>
    <w:rsid w:val="00100876"/>
    <w:rsid w:val="00100A59"/>
    <w:rsid w:val="00102BB5"/>
    <w:rsid w:val="00102D4B"/>
    <w:rsid w:val="00102DCF"/>
    <w:rsid w:val="00103E1E"/>
    <w:rsid w:val="00116041"/>
    <w:rsid w:val="0012235E"/>
    <w:rsid w:val="00123511"/>
    <w:rsid w:val="00124FA2"/>
    <w:rsid w:val="0012608F"/>
    <w:rsid w:val="001306CA"/>
    <w:rsid w:val="001328F2"/>
    <w:rsid w:val="001337AA"/>
    <w:rsid w:val="0013486A"/>
    <w:rsid w:val="00135053"/>
    <w:rsid w:val="0014282C"/>
    <w:rsid w:val="00145F1A"/>
    <w:rsid w:val="00146460"/>
    <w:rsid w:val="00150387"/>
    <w:rsid w:val="0015488D"/>
    <w:rsid w:val="00154D90"/>
    <w:rsid w:val="001553C9"/>
    <w:rsid w:val="001563E4"/>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CF9"/>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E6ECC"/>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44B9"/>
    <w:rsid w:val="002669C3"/>
    <w:rsid w:val="0027206F"/>
    <w:rsid w:val="00273345"/>
    <w:rsid w:val="00276723"/>
    <w:rsid w:val="00276E8A"/>
    <w:rsid w:val="00277CEA"/>
    <w:rsid w:val="00280452"/>
    <w:rsid w:val="00281E43"/>
    <w:rsid w:val="00282F3A"/>
    <w:rsid w:val="00285B98"/>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1CA0"/>
    <w:rsid w:val="00335504"/>
    <w:rsid w:val="00336EC8"/>
    <w:rsid w:val="00340748"/>
    <w:rsid w:val="003455ED"/>
    <w:rsid w:val="0034597A"/>
    <w:rsid w:val="00351386"/>
    <w:rsid w:val="0035319D"/>
    <w:rsid w:val="003547E1"/>
    <w:rsid w:val="00356521"/>
    <w:rsid w:val="00360FDF"/>
    <w:rsid w:val="0036255E"/>
    <w:rsid w:val="00363802"/>
    <w:rsid w:val="003644CE"/>
    <w:rsid w:val="00365E18"/>
    <w:rsid w:val="00367E6A"/>
    <w:rsid w:val="00370A53"/>
    <w:rsid w:val="00371189"/>
    <w:rsid w:val="00371478"/>
    <w:rsid w:val="003718B8"/>
    <w:rsid w:val="00372CAB"/>
    <w:rsid w:val="00373193"/>
    <w:rsid w:val="003739EF"/>
    <w:rsid w:val="00376FB0"/>
    <w:rsid w:val="00380DD3"/>
    <w:rsid w:val="00381BDF"/>
    <w:rsid w:val="003831CC"/>
    <w:rsid w:val="00385262"/>
    <w:rsid w:val="00386513"/>
    <w:rsid w:val="00386A73"/>
    <w:rsid w:val="00387E33"/>
    <w:rsid w:val="00391D05"/>
    <w:rsid w:val="0039462F"/>
    <w:rsid w:val="00395ECF"/>
    <w:rsid w:val="003A0901"/>
    <w:rsid w:val="003A1C6A"/>
    <w:rsid w:val="003A2DD6"/>
    <w:rsid w:val="003A48C3"/>
    <w:rsid w:val="003A4A3B"/>
    <w:rsid w:val="003B16CD"/>
    <w:rsid w:val="003B43CE"/>
    <w:rsid w:val="003C03F7"/>
    <w:rsid w:val="003C13A0"/>
    <w:rsid w:val="003C615A"/>
    <w:rsid w:val="003C6305"/>
    <w:rsid w:val="003C7DF2"/>
    <w:rsid w:val="003D299D"/>
    <w:rsid w:val="003D451C"/>
    <w:rsid w:val="003D53F1"/>
    <w:rsid w:val="003D64DA"/>
    <w:rsid w:val="003E795F"/>
    <w:rsid w:val="003F16B6"/>
    <w:rsid w:val="003F23C1"/>
    <w:rsid w:val="003F2602"/>
    <w:rsid w:val="003F272C"/>
    <w:rsid w:val="003F2B3A"/>
    <w:rsid w:val="003F4C88"/>
    <w:rsid w:val="00400643"/>
    <w:rsid w:val="0040655A"/>
    <w:rsid w:val="00406ABB"/>
    <w:rsid w:val="00413DE9"/>
    <w:rsid w:val="004154F4"/>
    <w:rsid w:val="00416927"/>
    <w:rsid w:val="00417272"/>
    <w:rsid w:val="00417ABD"/>
    <w:rsid w:val="00420D7D"/>
    <w:rsid w:val="004315C5"/>
    <w:rsid w:val="00431972"/>
    <w:rsid w:val="0043293E"/>
    <w:rsid w:val="004339A3"/>
    <w:rsid w:val="0044125C"/>
    <w:rsid w:val="00443120"/>
    <w:rsid w:val="00443355"/>
    <w:rsid w:val="004448AA"/>
    <w:rsid w:val="004455D1"/>
    <w:rsid w:val="00451276"/>
    <w:rsid w:val="00452361"/>
    <w:rsid w:val="00456620"/>
    <w:rsid w:val="004644ED"/>
    <w:rsid w:val="004724E6"/>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A7754"/>
    <w:rsid w:val="004B031D"/>
    <w:rsid w:val="004B1EE7"/>
    <w:rsid w:val="004B2491"/>
    <w:rsid w:val="004B63C6"/>
    <w:rsid w:val="004B665B"/>
    <w:rsid w:val="004C2AE3"/>
    <w:rsid w:val="004C5B15"/>
    <w:rsid w:val="004C665F"/>
    <w:rsid w:val="004C76D9"/>
    <w:rsid w:val="004C7BA3"/>
    <w:rsid w:val="004C7F6E"/>
    <w:rsid w:val="004D0809"/>
    <w:rsid w:val="004E1F73"/>
    <w:rsid w:val="004E45B4"/>
    <w:rsid w:val="004E5730"/>
    <w:rsid w:val="004E6F5E"/>
    <w:rsid w:val="004F0349"/>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04ED"/>
    <w:rsid w:val="00555739"/>
    <w:rsid w:val="00556A72"/>
    <w:rsid w:val="005575A8"/>
    <w:rsid w:val="005634F6"/>
    <w:rsid w:val="00563573"/>
    <w:rsid w:val="005637EC"/>
    <w:rsid w:val="005644C7"/>
    <w:rsid w:val="00564867"/>
    <w:rsid w:val="005703D1"/>
    <w:rsid w:val="00573101"/>
    <w:rsid w:val="00581093"/>
    <w:rsid w:val="005833D9"/>
    <w:rsid w:val="00583A0E"/>
    <w:rsid w:val="00585B01"/>
    <w:rsid w:val="0058609E"/>
    <w:rsid w:val="005869B4"/>
    <w:rsid w:val="00587089"/>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6D09"/>
    <w:rsid w:val="007170A0"/>
    <w:rsid w:val="007170B4"/>
    <w:rsid w:val="0071767F"/>
    <w:rsid w:val="007177BA"/>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92846"/>
    <w:rsid w:val="007A3EC8"/>
    <w:rsid w:val="007A4952"/>
    <w:rsid w:val="007A5FA6"/>
    <w:rsid w:val="007A6F2C"/>
    <w:rsid w:val="007B153E"/>
    <w:rsid w:val="007B2C55"/>
    <w:rsid w:val="007B32D1"/>
    <w:rsid w:val="007B3BCC"/>
    <w:rsid w:val="007B5CBC"/>
    <w:rsid w:val="007B5E1B"/>
    <w:rsid w:val="007B6769"/>
    <w:rsid w:val="007B7F5B"/>
    <w:rsid w:val="007C0DAC"/>
    <w:rsid w:val="007C174F"/>
    <w:rsid w:val="007C2D21"/>
    <w:rsid w:val="007C6B30"/>
    <w:rsid w:val="007D143A"/>
    <w:rsid w:val="007D187E"/>
    <w:rsid w:val="007D268D"/>
    <w:rsid w:val="007D34E8"/>
    <w:rsid w:val="007D6168"/>
    <w:rsid w:val="007D6225"/>
    <w:rsid w:val="007E2A0F"/>
    <w:rsid w:val="007E2DF2"/>
    <w:rsid w:val="007E59D8"/>
    <w:rsid w:val="007E5D51"/>
    <w:rsid w:val="007E6C83"/>
    <w:rsid w:val="007F1623"/>
    <w:rsid w:val="007F49E4"/>
    <w:rsid w:val="007F6047"/>
    <w:rsid w:val="00800684"/>
    <w:rsid w:val="00802687"/>
    <w:rsid w:val="008031CC"/>
    <w:rsid w:val="008031F0"/>
    <w:rsid w:val="008046DA"/>
    <w:rsid w:val="0080741C"/>
    <w:rsid w:val="00807454"/>
    <w:rsid w:val="00814F03"/>
    <w:rsid w:val="00817141"/>
    <w:rsid w:val="00817E10"/>
    <w:rsid w:val="00821943"/>
    <w:rsid w:val="00821FCD"/>
    <w:rsid w:val="0083354C"/>
    <w:rsid w:val="0083742E"/>
    <w:rsid w:val="00837A3D"/>
    <w:rsid w:val="00840AA9"/>
    <w:rsid w:val="00840D5A"/>
    <w:rsid w:val="008418C3"/>
    <w:rsid w:val="00845735"/>
    <w:rsid w:val="008508E4"/>
    <w:rsid w:val="0085168B"/>
    <w:rsid w:val="008527DE"/>
    <w:rsid w:val="0085516D"/>
    <w:rsid w:val="0085571E"/>
    <w:rsid w:val="0086010F"/>
    <w:rsid w:val="008630B4"/>
    <w:rsid w:val="008713A8"/>
    <w:rsid w:val="00874D2B"/>
    <w:rsid w:val="0087772D"/>
    <w:rsid w:val="008844EF"/>
    <w:rsid w:val="00884BFF"/>
    <w:rsid w:val="008863D0"/>
    <w:rsid w:val="00887716"/>
    <w:rsid w:val="00890693"/>
    <w:rsid w:val="00891D2F"/>
    <w:rsid w:val="00893196"/>
    <w:rsid w:val="00895E18"/>
    <w:rsid w:val="008961D8"/>
    <w:rsid w:val="00896E6D"/>
    <w:rsid w:val="008A2BA8"/>
    <w:rsid w:val="008A339A"/>
    <w:rsid w:val="008A5BEE"/>
    <w:rsid w:val="008A7612"/>
    <w:rsid w:val="008B59F6"/>
    <w:rsid w:val="008B5C3C"/>
    <w:rsid w:val="008B6C46"/>
    <w:rsid w:val="008C6452"/>
    <w:rsid w:val="008D04B3"/>
    <w:rsid w:val="008D1FA7"/>
    <w:rsid w:val="008D3104"/>
    <w:rsid w:val="008D51AF"/>
    <w:rsid w:val="008D7691"/>
    <w:rsid w:val="008E2533"/>
    <w:rsid w:val="008F3CBF"/>
    <w:rsid w:val="008F49C0"/>
    <w:rsid w:val="008F61EF"/>
    <w:rsid w:val="008F7438"/>
    <w:rsid w:val="00901D7F"/>
    <w:rsid w:val="00902255"/>
    <w:rsid w:val="00905859"/>
    <w:rsid w:val="00906010"/>
    <w:rsid w:val="009067D8"/>
    <w:rsid w:val="00910B13"/>
    <w:rsid w:val="0091445E"/>
    <w:rsid w:val="009145C5"/>
    <w:rsid w:val="00921798"/>
    <w:rsid w:val="00924DD5"/>
    <w:rsid w:val="009264AD"/>
    <w:rsid w:val="009302FB"/>
    <w:rsid w:val="0094261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4637"/>
    <w:rsid w:val="00984B31"/>
    <w:rsid w:val="009857CF"/>
    <w:rsid w:val="00985BD5"/>
    <w:rsid w:val="00986526"/>
    <w:rsid w:val="00987202"/>
    <w:rsid w:val="009876B4"/>
    <w:rsid w:val="009902E9"/>
    <w:rsid w:val="0099145E"/>
    <w:rsid w:val="00993CB2"/>
    <w:rsid w:val="00997DAB"/>
    <w:rsid w:val="00997EEC"/>
    <w:rsid w:val="009A02D3"/>
    <w:rsid w:val="009A33DA"/>
    <w:rsid w:val="009A34C8"/>
    <w:rsid w:val="009B0817"/>
    <w:rsid w:val="009B15F6"/>
    <w:rsid w:val="009B5873"/>
    <w:rsid w:val="009B7833"/>
    <w:rsid w:val="009C0AF9"/>
    <w:rsid w:val="009C0D63"/>
    <w:rsid w:val="009C536D"/>
    <w:rsid w:val="009C5DDC"/>
    <w:rsid w:val="009C7BF0"/>
    <w:rsid w:val="009C7DFD"/>
    <w:rsid w:val="009D3FD4"/>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211E"/>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5906"/>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0C91"/>
    <w:rsid w:val="00B03C1C"/>
    <w:rsid w:val="00B10CC8"/>
    <w:rsid w:val="00B203B3"/>
    <w:rsid w:val="00B210B7"/>
    <w:rsid w:val="00B35983"/>
    <w:rsid w:val="00B3658F"/>
    <w:rsid w:val="00B404ED"/>
    <w:rsid w:val="00B42419"/>
    <w:rsid w:val="00B42439"/>
    <w:rsid w:val="00B4434C"/>
    <w:rsid w:val="00B444E2"/>
    <w:rsid w:val="00B44B1E"/>
    <w:rsid w:val="00B46562"/>
    <w:rsid w:val="00B47F73"/>
    <w:rsid w:val="00B5052F"/>
    <w:rsid w:val="00B53465"/>
    <w:rsid w:val="00B53657"/>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1C1A"/>
    <w:rsid w:val="00C34629"/>
    <w:rsid w:val="00C34886"/>
    <w:rsid w:val="00C417F9"/>
    <w:rsid w:val="00C43F60"/>
    <w:rsid w:val="00C447D4"/>
    <w:rsid w:val="00C46DF5"/>
    <w:rsid w:val="00C50610"/>
    <w:rsid w:val="00C522AD"/>
    <w:rsid w:val="00C52A75"/>
    <w:rsid w:val="00C5339D"/>
    <w:rsid w:val="00C54408"/>
    <w:rsid w:val="00C56484"/>
    <w:rsid w:val="00C564D9"/>
    <w:rsid w:val="00C81345"/>
    <w:rsid w:val="00C83B44"/>
    <w:rsid w:val="00C86E08"/>
    <w:rsid w:val="00C87700"/>
    <w:rsid w:val="00C87FB9"/>
    <w:rsid w:val="00C92432"/>
    <w:rsid w:val="00C9792A"/>
    <w:rsid w:val="00C9798A"/>
    <w:rsid w:val="00CA090E"/>
    <w:rsid w:val="00CA1226"/>
    <w:rsid w:val="00CA291E"/>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1B60"/>
    <w:rsid w:val="00D428FD"/>
    <w:rsid w:val="00D5414C"/>
    <w:rsid w:val="00D54EFC"/>
    <w:rsid w:val="00D621F4"/>
    <w:rsid w:val="00D62E43"/>
    <w:rsid w:val="00D63854"/>
    <w:rsid w:val="00D65A83"/>
    <w:rsid w:val="00D66A01"/>
    <w:rsid w:val="00D70AFA"/>
    <w:rsid w:val="00D72D42"/>
    <w:rsid w:val="00D72EB6"/>
    <w:rsid w:val="00D740FC"/>
    <w:rsid w:val="00D768F5"/>
    <w:rsid w:val="00D8151C"/>
    <w:rsid w:val="00D820CA"/>
    <w:rsid w:val="00D823EC"/>
    <w:rsid w:val="00D83CE2"/>
    <w:rsid w:val="00D95439"/>
    <w:rsid w:val="00DA10A2"/>
    <w:rsid w:val="00DA27CD"/>
    <w:rsid w:val="00DA4DD9"/>
    <w:rsid w:val="00DB37F4"/>
    <w:rsid w:val="00DB627B"/>
    <w:rsid w:val="00DC0AC4"/>
    <w:rsid w:val="00DC1A01"/>
    <w:rsid w:val="00DC20AC"/>
    <w:rsid w:val="00DC3174"/>
    <w:rsid w:val="00DD2AAE"/>
    <w:rsid w:val="00DD2FC3"/>
    <w:rsid w:val="00DD3810"/>
    <w:rsid w:val="00DD3D81"/>
    <w:rsid w:val="00DD3F42"/>
    <w:rsid w:val="00DD6390"/>
    <w:rsid w:val="00DE1B9F"/>
    <w:rsid w:val="00DE27F5"/>
    <w:rsid w:val="00DF2165"/>
    <w:rsid w:val="00DF2510"/>
    <w:rsid w:val="00DF3A96"/>
    <w:rsid w:val="00DF5FE8"/>
    <w:rsid w:val="00E00DF1"/>
    <w:rsid w:val="00E0139A"/>
    <w:rsid w:val="00E05EA7"/>
    <w:rsid w:val="00E1158A"/>
    <w:rsid w:val="00E11B4A"/>
    <w:rsid w:val="00E12548"/>
    <w:rsid w:val="00E1433A"/>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B7E7F"/>
    <w:rsid w:val="00EC043D"/>
    <w:rsid w:val="00EC09E0"/>
    <w:rsid w:val="00EC2CF8"/>
    <w:rsid w:val="00EC44FF"/>
    <w:rsid w:val="00EC4E3E"/>
    <w:rsid w:val="00EC5456"/>
    <w:rsid w:val="00ED122D"/>
    <w:rsid w:val="00ED1BE3"/>
    <w:rsid w:val="00ED2E05"/>
    <w:rsid w:val="00ED3775"/>
    <w:rsid w:val="00ED52D9"/>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230"/>
    <w:rsid w:val="00FB6506"/>
    <w:rsid w:val="00FC2D57"/>
    <w:rsid w:val="00FC2D69"/>
    <w:rsid w:val="00FC30EE"/>
    <w:rsid w:val="00FD5CFD"/>
    <w:rsid w:val="00FD7C6C"/>
    <w:rsid w:val="00FE168A"/>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76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purl.org/dc/dcmitype/"/>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1c2670d-76f3-403b-9d2f-38b517d5f26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1FE4D9-6519-4461-BADF-28071B69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2</TotalTime>
  <Pages>2</Pages>
  <Words>1091</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aislas</cp:lastModifiedBy>
  <cp:revision>3</cp:revision>
  <cp:lastPrinted>2014-11-20T19:37:00Z</cp:lastPrinted>
  <dcterms:created xsi:type="dcterms:W3CDTF">2015-06-29T22:54:00Z</dcterms:created>
  <dcterms:modified xsi:type="dcterms:W3CDTF">2015-07-15T14:08:00Z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